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BC" w:rsidRDefault="005C56BC" w:rsidP="00EC076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6FD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 социального обслуживания: г</w:t>
      </w:r>
      <w:r w:rsidRPr="00ED7751">
        <w:rPr>
          <w:rFonts w:ascii="Times New Roman" w:hAnsi="Times New Roman"/>
          <w:sz w:val="28"/>
          <w:szCs w:val="28"/>
        </w:rPr>
        <w:t>осударственное автономное учреждение социального обслуживания населения «Комплексный центр социального обслуживания населения, Наримановский район, Астраханская область»</w:t>
      </w:r>
    </w:p>
    <w:p w:rsidR="005C56BC" w:rsidRDefault="005C56BC" w:rsidP="00EC076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6BC" w:rsidRDefault="005C56BC" w:rsidP="00EC076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6BC" w:rsidRDefault="005C56BC" w:rsidP="00EC076F">
      <w:pPr>
        <w:pStyle w:val="ListParagraph"/>
        <w:spacing w:after="0" w:line="240" w:lineRule="auto"/>
        <w:jc w:val="both"/>
      </w:pPr>
    </w:p>
    <w:p w:rsidR="005C56BC" w:rsidRDefault="005C56BC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5C56BC" w:rsidRDefault="005C56BC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5C56BC" w:rsidRDefault="005C56BC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(полустационарная форма обслуживания)</w:t>
      </w:r>
    </w:p>
    <w:p w:rsidR="005C56BC" w:rsidRDefault="005C56BC" w:rsidP="00EA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6BC" w:rsidRDefault="005C56BC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7"/>
        <w:gridCol w:w="4791"/>
        <w:gridCol w:w="743"/>
        <w:gridCol w:w="1983"/>
        <w:gridCol w:w="2267"/>
        <w:gridCol w:w="2125"/>
        <w:gridCol w:w="1984"/>
      </w:tblGrid>
      <w:tr w:rsidR="005C56BC" w:rsidTr="000376EA">
        <w:trPr>
          <w:trHeight w:val="1675"/>
        </w:trPr>
        <w:tc>
          <w:tcPr>
            <w:tcW w:w="987" w:type="dxa"/>
            <w:vAlign w:val="center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34" w:type="dxa"/>
            <w:gridSpan w:val="2"/>
            <w:vAlign w:val="center"/>
          </w:tcPr>
          <w:p w:rsidR="005C56BC" w:rsidRDefault="005C56BC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56BC" w:rsidRDefault="005C56BC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3" w:type="dxa"/>
            <w:vAlign w:val="center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(характеристика) показателя</w:t>
            </w:r>
          </w:p>
        </w:tc>
        <w:tc>
          <w:tcPr>
            <w:tcW w:w="2267" w:type="dxa"/>
            <w:vAlign w:val="center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 в баллах</w:t>
            </w:r>
          </w:p>
        </w:tc>
        <w:tc>
          <w:tcPr>
            <w:tcW w:w="2125" w:type="dxa"/>
            <w:vAlign w:val="center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возможный суммарный балл организации данного типа</w:t>
            </w: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C56BC" w:rsidRDefault="005C56BC" w:rsidP="003E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5C56BC" w:rsidTr="00543ED4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5C56BC" w:rsidRDefault="005C56BC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5C56BC" w:rsidRDefault="005C56BC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5C56BC" w:rsidTr="000376EA">
        <w:trPr>
          <w:trHeight w:val="1281"/>
        </w:trPr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1.1-1.3.)</w:t>
            </w: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 в сети «Интернет»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чем на 10%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30%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до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90 до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3.1-3.2)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4.1-4.2)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5.1-5.3)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6.1-6.3)</w:t>
            </w: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 частично/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в полном объеме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в полном объеме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в полном объеме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34" w:type="dxa"/>
            <w:gridSpan w:val="2"/>
          </w:tcPr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5C56BC" w:rsidRDefault="005C56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0,86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социальныхуслуг: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1.1-1.4)</w:t>
            </w: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оборудована/ частично оборудована /не оборудована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доступны/ частично доступны /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доступны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доступно/ частично доступно /не доступно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(есть/нет)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(есть/нет)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Align w:val="center"/>
          </w:tcPr>
          <w:p w:rsidR="005C56BC" w:rsidRDefault="005C56BC" w:rsidP="007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штатных единиц, установленных в штатном расписании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0,81</w:t>
            </w:r>
          </w:p>
        </w:tc>
      </w:tr>
      <w:tr w:rsidR="005C56BC" w:rsidTr="00543ED4">
        <w:tc>
          <w:tcPr>
            <w:tcW w:w="987" w:type="dxa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обслуживания, порядке предоставления социальных услуг (среди опрошенных потребителей социальных услуг)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30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C56BC" w:rsidTr="00543ED4">
        <w:tc>
          <w:tcPr>
            <w:tcW w:w="987" w:type="dxa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0,71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543ED4">
        <w:tc>
          <w:tcPr>
            <w:tcW w:w="987" w:type="dxa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</w:tcPr>
          <w:p w:rsidR="005C56BC" w:rsidRDefault="005C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0,81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удовлетворенных: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среднеарифмети-ческая величина значений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2.1-.2.12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2125" w:type="dxa"/>
            <w:vMerge w:val="restart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5C56BC" w:rsidTr="001E4049">
        <w:trPr>
          <w:trHeight w:val="1724"/>
        </w:trPr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C56BC" w:rsidRDefault="005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 жалоб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 жалоб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не зарегистрировано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6BC" w:rsidTr="000376EA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5C56BC" w:rsidRDefault="005C5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2726" w:type="dxa"/>
            <w:gridSpan w:val="2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5C56BC" w:rsidRPr="007143C2" w:rsidRDefault="005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3C2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</w:tr>
      <w:tr w:rsidR="005C56BC" w:rsidTr="00543ED4">
        <w:tc>
          <w:tcPr>
            <w:tcW w:w="987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9" w:type="dxa"/>
            <w:gridSpan w:val="5"/>
          </w:tcPr>
          <w:p w:rsidR="005C56BC" w:rsidRDefault="005C56BC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6BC" w:rsidRDefault="005C56BC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C56BC" w:rsidRDefault="005C56BC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C" w:rsidRDefault="005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28,52</w:t>
            </w:r>
          </w:p>
        </w:tc>
      </w:tr>
    </w:tbl>
    <w:p w:rsidR="005C56BC" w:rsidRDefault="005C56BC" w:rsidP="00614AA7">
      <w:pPr>
        <w:rPr>
          <w:rFonts w:ascii="Times New Roman" w:hAnsi="Times New Roman"/>
          <w:b/>
          <w:sz w:val="28"/>
          <w:szCs w:val="28"/>
        </w:rPr>
      </w:pPr>
    </w:p>
    <w:p w:rsidR="005C56BC" w:rsidRPr="00A4030D" w:rsidRDefault="005C56BC" w:rsidP="00A40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30D">
        <w:rPr>
          <w:rFonts w:ascii="Times New Roman" w:hAnsi="Times New Roman"/>
          <w:b/>
          <w:sz w:val="24"/>
          <w:szCs w:val="24"/>
        </w:rPr>
        <w:t>Примечания:</w:t>
      </w:r>
    </w:p>
    <w:p w:rsidR="005C56BC" w:rsidRDefault="005C56BC" w:rsidP="00A40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BC" w:rsidRPr="00DA1AD3" w:rsidRDefault="005C56BC" w:rsidP="00974810">
      <w:pPr>
        <w:tabs>
          <w:tab w:val="left" w:pos="3544"/>
          <w:tab w:val="right" w:pos="97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AD3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и муниципальных учреждениях (www.bus.gov.ru)  размещена актуальная информация об учреждении.</w:t>
      </w:r>
    </w:p>
    <w:p w:rsidR="005C56BC" w:rsidRDefault="005C56BC" w:rsidP="008570A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имеет сайт</w:t>
      </w:r>
      <w:r w:rsidRPr="00DA1AD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A1AD3">
          <w:rPr>
            <w:rStyle w:val="Hyperlink"/>
            <w:rFonts w:ascii="Times New Roman" w:hAnsi="Times New Roman"/>
            <w:sz w:val="24"/>
            <w:szCs w:val="24"/>
          </w:rPr>
          <w:t>http://narimanovkcson.ru</w:t>
        </w:r>
      </w:hyperlink>
      <w:r>
        <w:rPr>
          <w:rFonts w:ascii="Times New Roman" w:hAnsi="Times New Roman"/>
          <w:sz w:val="24"/>
          <w:szCs w:val="24"/>
        </w:rPr>
        <w:t xml:space="preserve">. На официальном сайте учреждения отсутствуют </w:t>
      </w:r>
      <w:r w:rsidRPr="00DA1AD3">
        <w:rPr>
          <w:rFonts w:ascii="Times New Roman" w:hAnsi="Times New Roman"/>
          <w:sz w:val="24"/>
          <w:szCs w:val="24"/>
        </w:rPr>
        <w:t>лицензии на осуществление деятельности, подлежащей лицензированию</w:t>
      </w:r>
      <w:r>
        <w:rPr>
          <w:rFonts w:ascii="Times New Roman" w:hAnsi="Times New Roman"/>
          <w:sz w:val="24"/>
          <w:szCs w:val="24"/>
        </w:rPr>
        <w:t>, предписания органов, осуществляющих государственный контроль в сфере социального обслуживания и отчеты об исполнении таких предписаний, 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РФ.</w:t>
      </w:r>
      <w:r w:rsidRPr="00DA1AD3">
        <w:rPr>
          <w:rFonts w:ascii="Times New Roman" w:hAnsi="Times New Roman"/>
          <w:sz w:val="24"/>
          <w:szCs w:val="24"/>
        </w:rPr>
        <w:t xml:space="preserve">Также информация об учреждении представлена на официальной странице учреждения на сайте министерства  социального развития и труда АО: </w:t>
      </w:r>
      <w:hyperlink r:id="rId7" w:history="1">
        <w:r w:rsidRPr="00DA1AD3">
          <w:rPr>
            <w:rStyle w:val="Hyperlink"/>
            <w:rFonts w:ascii="Times New Roman" w:hAnsi="Times New Roman"/>
            <w:sz w:val="24"/>
            <w:szCs w:val="24"/>
          </w:rPr>
          <w:t>http://www.minsoctrud.astrobl.ru/podrazdeleniya/ktsson-narimanovskogo-raiona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A1AD3">
        <w:rPr>
          <w:rFonts w:ascii="Times New Roman" w:hAnsi="Times New Roman"/>
          <w:sz w:val="24"/>
          <w:szCs w:val="24"/>
        </w:rPr>
        <w:t>На странице учреждения на официально</w:t>
      </w:r>
      <w:r>
        <w:rPr>
          <w:rFonts w:ascii="Times New Roman" w:hAnsi="Times New Roman"/>
          <w:sz w:val="24"/>
          <w:szCs w:val="24"/>
        </w:rPr>
        <w:t>м</w:t>
      </w:r>
      <w:r w:rsidRPr="00DA1AD3">
        <w:rPr>
          <w:rFonts w:ascii="Times New Roman" w:hAnsi="Times New Roman"/>
          <w:sz w:val="24"/>
          <w:szCs w:val="24"/>
        </w:rPr>
        <w:t>сайте министерства социального развития и труда АО отсутствуют лицензии на осуществление деятельности, подлежащей лицензированию, предписания  органов, осуществляющих государственный контроль в сфере социального обслуживания, информация о количестве свободных мест для приема получателей социальный услуг.</w:t>
      </w:r>
    </w:p>
    <w:p w:rsidR="005C56BC" w:rsidRDefault="005C56BC" w:rsidP="00974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>На  информационных стендах в помещениях организации име</w:t>
      </w:r>
      <w:r>
        <w:rPr>
          <w:rFonts w:ascii="Times New Roman" w:hAnsi="Times New Roman"/>
          <w:sz w:val="24"/>
          <w:szCs w:val="24"/>
        </w:rPr>
        <w:t>ется информации о деятельности, выпускаются информационные буклеты, брошюры.</w:t>
      </w:r>
    </w:p>
    <w:p w:rsidR="005C56BC" w:rsidRPr="0074682F" w:rsidRDefault="005C56BC" w:rsidP="0097481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сайте организации и </w:t>
      </w:r>
      <w:r w:rsidRPr="0074682F">
        <w:rPr>
          <w:rFonts w:ascii="Times New Roman" w:hAnsi="Times New Roman"/>
          <w:sz w:val="24"/>
          <w:szCs w:val="24"/>
        </w:rPr>
        <w:t xml:space="preserve">странице учреждения на </w:t>
      </w:r>
      <w:r>
        <w:rPr>
          <w:rFonts w:ascii="Times New Roman" w:hAnsi="Times New Roman"/>
          <w:sz w:val="24"/>
          <w:szCs w:val="24"/>
        </w:rPr>
        <w:t>официальном</w:t>
      </w:r>
      <w:r w:rsidRPr="0074682F">
        <w:rPr>
          <w:rFonts w:ascii="Times New Roman" w:hAnsi="Times New Roman"/>
          <w:sz w:val="24"/>
          <w:szCs w:val="24"/>
        </w:rPr>
        <w:t xml:space="preserve">сайте министерства социального развития и труда АО имеется альтернативная версия для инвалидов по зрению. </w:t>
      </w:r>
    </w:p>
    <w:p w:rsidR="005C56BC" w:rsidRPr="00DA1AD3" w:rsidRDefault="005C56BC" w:rsidP="0097481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AD3">
        <w:rPr>
          <w:rFonts w:ascii="Times New Roman" w:hAnsi="Times New Roman"/>
          <w:sz w:val="24"/>
          <w:szCs w:val="24"/>
        </w:rPr>
        <w:t>На официальном сайте организации и странице организации на официальном сайте МСРИТ АО указан телефон: 8 (85171) 70-2-06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1AD3">
        <w:rPr>
          <w:rFonts w:ascii="Times New Roman" w:hAnsi="Times New Roman"/>
          <w:sz w:val="24"/>
          <w:szCs w:val="24"/>
        </w:rPr>
        <w:t>В ответ на звонок «тайный клиент» информация по вопросу дана в полном объеме, без переадресации.</w:t>
      </w:r>
    </w:p>
    <w:p w:rsidR="005C56BC" w:rsidRDefault="005C56BC" w:rsidP="001F78F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AD3">
        <w:rPr>
          <w:rFonts w:ascii="Times New Roman" w:hAnsi="Times New Roman"/>
          <w:sz w:val="24"/>
          <w:szCs w:val="24"/>
        </w:rPr>
        <w:t xml:space="preserve">На официальном сайте организации и странице организации на официальном сайте МСРИТ АО указан адрес электронной почты: </w:t>
      </w:r>
      <w:hyperlink r:id="rId8" w:history="1">
        <w:r w:rsidRPr="00DA1AD3">
          <w:rPr>
            <w:rStyle w:val="Hyperlink"/>
            <w:rFonts w:ascii="Times New Roman" w:hAnsi="Times New Roman"/>
            <w:sz w:val="24"/>
            <w:szCs w:val="24"/>
          </w:rPr>
          <w:t>KCSON.Narimanov@yandex.ru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. </w:t>
      </w:r>
      <w:r w:rsidRPr="00DA1AD3">
        <w:rPr>
          <w:rFonts w:ascii="Times New Roman" w:hAnsi="Times New Roman"/>
          <w:sz w:val="24"/>
          <w:szCs w:val="24"/>
        </w:rPr>
        <w:t xml:space="preserve">Электронное письмо от «тайного клиента» </w:t>
      </w:r>
      <w:r>
        <w:rPr>
          <w:rFonts w:ascii="Times New Roman" w:hAnsi="Times New Roman"/>
          <w:sz w:val="24"/>
          <w:szCs w:val="24"/>
        </w:rPr>
        <w:t>отправлено</w:t>
      </w:r>
      <w:r w:rsidRPr="00DA1AD3">
        <w:rPr>
          <w:rFonts w:ascii="Times New Roman" w:hAnsi="Times New Roman"/>
          <w:sz w:val="24"/>
          <w:szCs w:val="24"/>
        </w:rPr>
        <w:t>на указанный а</w:t>
      </w:r>
      <w:r>
        <w:rPr>
          <w:rFonts w:ascii="Times New Roman" w:hAnsi="Times New Roman"/>
          <w:sz w:val="24"/>
          <w:szCs w:val="24"/>
        </w:rPr>
        <w:t>дрес эл.почты</w:t>
      </w:r>
      <w:r w:rsidRPr="00DA1AD3">
        <w:rPr>
          <w:rFonts w:ascii="Times New Roman" w:hAnsi="Times New Roman"/>
          <w:sz w:val="24"/>
          <w:szCs w:val="24"/>
        </w:rPr>
        <w:t>, ответ получен в полном объёме, без переадресации.</w:t>
      </w:r>
    </w:p>
    <w:p w:rsidR="005C56BC" w:rsidRDefault="005C56BC" w:rsidP="00410D2D">
      <w:pPr>
        <w:snapToGrid w:val="0"/>
        <w:spacing w:after="0" w:line="24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DA1AD3">
        <w:rPr>
          <w:rFonts w:ascii="Times New Roman" w:hAnsi="Times New Roman"/>
          <w:sz w:val="24"/>
          <w:szCs w:val="24"/>
        </w:rPr>
        <w:t>Для направления заявления (жалобы)</w:t>
      </w:r>
      <w:r>
        <w:rPr>
          <w:rFonts w:ascii="Times New Roman" w:hAnsi="Times New Roman"/>
          <w:sz w:val="24"/>
          <w:szCs w:val="24"/>
        </w:rPr>
        <w:t xml:space="preserve"> на официальном сайте учреждения и на официальной странице учреждения на сайте МСРИТ АО</w:t>
      </w:r>
      <w:r w:rsidRPr="00DA1AD3">
        <w:rPr>
          <w:rFonts w:ascii="Times New Roman" w:hAnsi="Times New Roman"/>
          <w:sz w:val="24"/>
          <w:szCs w:val="24"/>
        </w:rPr>
        <w:t xml:space="preserve"> указан адрес  электронной почты, имеется фо</w:t>
      </w:r>
      <w:r>
        <w:rPr>
          <w:rFonts w:ascii="Times New Roman" w:hAnsi="Times New Roman"/>
          <w:sz w:val="24"/>
          <w:szCs w:val="24"/>
        </w:rPr>
        <w:t xml:space="preserve">рма электронного обращения: </w:t>
      </w:r>
      <w:hyperlink r:id="rId9" w:history="1">
        <w:r w:rsidRPr="00DA1AD3">
          <w:rPr>
            <w:rStyle w:val="Hyperlink"/>
            <w:rFonts w:ascii="Times New Roman" w:hAnsi="Times New Roman"/>
            <w:sz w:val="24"/>
            <w:szCs w:val="24"/>
          </w:rPr>
          <w:t>http://narimanovkcson.ru/index.php/kontakty</w:t>
        </w:r>
      </w:hyperlink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DA1AD3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и размещена информация о порядке подачи жалобы на качество оказания услуг. </w:t>
      </w:r>
    </w:p>
    <w:p w:rsidR="005C56BC" w:rsidRPr="00DA4A41" w:rsidRDefault="005C56BC" w:rsidP="00A14A3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Имеется возможность направления заявления (жалобы), предложений и отзывов о качестве предоставления социальных услуг лично в организацию социального обслуживания и по телефону /на «горячую линию» уполномоченного исполнительного органа государственной власти в сфере социального обслуживания.Информация о порядке подачи жалобы по вопросу качества услуг размещена в общедоступных местах на информационных стендах в организации социального обслуживания.</w:t>
      </w:r>
    </w:p>
    <w:p w:rsidR="005C56BC" w:rsidRPr="00DA1AD3" w:rsidRDefault="005C56BC" w:rsidP="0041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AD3">
        <w:rPr>
          <w:rFonts w:ascii="Times New Roman" w:hAnsi="Times New Roman"/>
          <w:sz w:val="24"/>
          <w:szCs w:val="24"/>
        </w:rPr>
        <w:t>На официальном сайте министерства социального развития и труда Астраханской области имеется информация о порядке подачи жалобы, в том числе на качество оказания  социальных услуг в разделе «Обращения граждан».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 w:rsidRPr="0074682F">
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</w:t>
      </w:r>
      <w:r>
        <w:t xml:space="preserve"> социальных услуг, составляет 86</w:t>
      </w:r>
      <w:r w:rsidRPr="0074682F">
        <w:t>% от общего числа опрошенных.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 w:rsidRPr="0074682F">
        <w:t xml:space="preserve">Прилегающая к организации территория частично оборудована для инвалидов и других маломобильных групп. Входная зона, а также санитарно-гигиенические помещения являются </w:t>
      </w:r>
      <w:r>
        <w:t xml:space="preserve">частично </w:t>
      </w:r>
      <w:r w:rsidRPr="0074682F">
        <w:t>доступными для инвалидов и других маломобильных групп. Имеются видео, аудио информаторы для лиц с нарушениями функций слуха и зрения в помещениях организации. С учетом частичной доступности здания для инвалидов и маломобильных групп в учреждении закреплен</w:t>
      </w:r>
      <w:r>
        <w:t>ы ответственные</w:t>
      </w:r>
      <w:r w:rsidRPr="0074682F">
        <w:t xml:space="preserve"> за сопровождение инвалидов сотрудник</w:t>
      </w:r>
      <w:r>
        <w:t>и</w:t>
      </w:r>
      <w:r w:rsidRPr="0074682F">
        <w:t xml:space="preserve">, соответствующие положения внесены в должностные инструкции. Помещения для предоставления социальных услуг оборудованы в соответствии с перечнем социальных услуг, предоставляемых в данной организации социального обслуживания. </w:t>
      </w:r>
    </w:p>
    <w:p w:rsidR="005C56BC" w:rsidRPr="0074682F" w:rsidRDefault="005C56BC" w:rsidP="00A111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1AB">
        <w:rPr>
          <w:rFonts w:ascii="Times New Roman" w:hAnsi="Times New Roman" w:cs="Times New Roman"/>
          <w:sz w:val="24"/>
          <w:szCs w:val="24"/>
        </w:rPr>
        <w:t>100%  получателей услуг (в том числе инвалидов и других маломобильных групп получателей услуг) считают условия оказания услуг доступными.</w:t>
      </w:r>
      <w:r w:rsidRPr="00A111AB">
        <w:rPr>
          <w:rFonts w:ascii="Times New Roman" w:hAnsi="Times New Roman" w:cs="Times New Roman"/>
          <w:color w:val="000000"/>
          <w:sz w:val="24"/>
          <w:szCs w:val="24"/>
        </w:rPr>
        <w:t>81%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опрошенных оценивают</w:t>
      </w:r>
      <w:r w:rsidRPr="0074682F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и  содержание помещения организации социального обслуживания и территории, на 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расположена,  как хорошее.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>
        <w:t>Организация на 96</w:t>
      </w:r>
      <w:r w:rsidRPr="0074682F">
        <w:t>% укомплектована специалистами, осуществляющими предоставление социальных услуг.</w:t>
      </w:r>
    </w:p>
    <w:p w:rsidR="005C56BC" w:rsidRPr="0074682F" w:rsidRDefault="005C56BC" w:rsidP="003E262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82F">
        <w:rPr>
          <w:rFonts w:ascii="Times New Roman" w:hAnsi="Times New Roman" w:cs="Times New Roman"/>
          <w:color w:val="000000"/>
          <w:sz w:val="24"/>
          <w:szCs w:val="24"/>
        </w:rPr>
        <w:t>85% опрошенных отметили, что время ожидания предоставления услуги в организации социального обслуживания не превысило установленный при назначении данной услуги срок.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опрошенных отметили, что в среднем время ожидания приема специалиста в организации составляет от 15 до 30 минут. 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 w:rsidRPr="0074682F">
        <w:t>100% участников опроса высоко оценили доброжелательность, ве</w:t>
      </w:r>
      <w:r>
        <w:t>жливость и  внимательность и 71</w:t>
      </w:r>
      <w:r w:rsidRPr="0074682F">
        <w:t>% высоко оценили компетентность работников организации социального обслуживания. За последние три года все работники организации  (за исключением административно-управленческого персонала) прошли  повышение квалификации/профессиональную переподготовку по профилю социальной работы или иной осуществляемой в организации.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>
        <w:t>81</w:t>
      </w:r>
      <w:r w:rsidRPr="0074682F">
        <w:t xml:space="preserve">% участников опроса от общего числа опрошенных положительно оценивают изменение качества жизни в результате получения социальных услуг в </w:t>
      </w:r>
      <w:r>
        <w:t>данной организации, в среднем 47</w:t>
      </w:r>
      <w:r w:rsidRPr="0074682F">
        <w:t>% удовлетворены условиями пре</w:t>
      </w:r>
      <w:r>
        <w:t>доставления социальных услуг, 90</w:t>
      </w:r>
      <w:r w:rsidRPr="0074682F">
        <w:t xml:space="preserve">% удовлетворены  качеством групповых (оздоровительных, досуговых),  мероприятий.  </w:t>
      </w:r>
    </w:p>
    <w:p w:rsidR="005C56BC" w:rsidRPr="0074682F" w:rsidRDefault="005C56BC" w:rsidP="00410D2D">
      <w:pPr>
        <w:pStyle w:val="western"/>
        <w:spacing w:before="0" w:beforeAutospacing="0" w:after="0" w:line="240" w:lineRule="auto"/>
        <w:jc w:val="both"/>
      </w:pPr>
      <w:r w:rsidRPr="0074682F">
        <w:t xml:space="preserve">В организации в период 2016 – 2017 г.г. не зарегистрировано жалоб получателей социальных услуг на качество предоставляемых услуг. </w:t>
      </w:r>
    </w:p>
    <w:p w:rsidR="005C56BC" w:rsidRDefault="005C56BC" w:rsidP="00410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74682F">
        <w:rPr>
          <w:rFonts w:ascii="Times New Roman" w:hAnsi="Times New Roman" w:cs="Times New Roman"/>
          <w:sz w:val="24"/>
          <w:szCs w:val="24"/>
        </w:rPr>
        <w:t xml:space="preserve">% опрошенных готовы рекомендовать эту организацию родственникам и знакомым, нуждающимся в социальном обслуживании. </w:t>
      </w:r>
    </w:p>
    <w:p w:rsidR="005C56BC" w:rsidRDefault="005C56BC" w:rsidP="00410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41C">
        <w:rPr>
          <w:rFonts w:ascii="Times New Roman" w:hAnsi="Times New Roman" w:cs="Times New Roman"/>
          <w:sz w:val="24"/>
          <w:szCs w:val="24"/>
        </w:rPr>
        <w:t>При посещении организации отмечено, что территория и все помещения  содержатся в чистоте, проводились мероприятия для получателей услуг согласно плану работы учреждения.</w:t>
      </w:r>
    </w:p>
    <w:p w:rsidR="005C56BC" w:rsidRDefault="005C56BC" w:rsidP="00410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6BC" w:rsidRPr="00262951" w:rsidRDefault="005C56BC" w:rsidP="00410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951">
        <w:rPr>
          <w:rFonts w:ascii="Times New Roman" w:hAnsi="Times New Roman"/>
          <w:b/>
          <w:sz w:val="24"/>
          <w:szCs w:val="24"/>
        </w:rPr>
        <w:t>Рекомендации и предложения:</w:t>
      </w:r>
    </w:p>
    <w:p w:rsidR="005C56BC" w:rsidRDefault="005C56BC" w:rsidP="00026A7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F547AD">
        <w:rPr>
          <w:rFonts w:ascii="Times New Roman" w:hAnsi="Times New Roman"/>
          <w:sz w:val="24"/>
          <w:szCs w:val="24"/>
        </w:rPr>
        <w:t xml:space="preserve">на сайте организации </w:t>
      </w:r>
      <w:r>
        <w:rPr>
          <w:rFonts w:ascii="Times New Roman" w:hAnsi="Times New Roman"/>
          <w:sz w:val="24"/>
          <w:szCs w:val="24"/>
        </w:rPr>
        <w:t>недостающую и</w:t>
      </w:r>
      <w:r w:rsidRPr="00F547AD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ю:</w:t>
      </w:r>
      <w:r w:rsidRPr="00DA1AD3">
        <w:rPr>
          <w:rFonts w:ascii="Times New Roman" w:hAnsi="Times New Roman"/>
          <w:sz w:val="24"/>
          <w:szCs w:val="24"/>
        </w:rPr>
        <w:t>лицензии на осуществление деятельности, подлежащей лицензированию</w:t>
      </w:r>
      <w:r>
        <w:rPr>
          <w:rFonts w:ascii="Times New Roman" w:hAnsi="Times New Roman"/>
          <w:sz w:val="24"/>
          <w:szCs w:val="24"/>
        </w:rPr>
        <w:t>, предписания органов, осуществляющих государственный контроль в сфере социального обслуживания и отчеты об исполнении таких предписаний, 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РФ.</w:t>
      </w:r>
    </w:p>
    <w:p w:rsidR="005C56BC" w:rsidRPr="00026A75" w:rsidRDefault="005C56BC" w:rsidP="0002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FDB">
        <w:rPr>
          <w:rFonts w:ascii="Times New Roman" w:hAnsi="Times New Roman"/>
          <w:sz w:val="24"/>
          <w:szCs w:val="24"/>
        </w:rPr>
        <w:t xml:space="preserve">Продолжить </w:t>
      </w:r>
      <w:r>
        <w:rPr>
          <w:rFonts w:ascii="Times New Roman" w:hAnsi="Times New Roman"/>
          <w:sz w:val="24"/>
          <w:szCs w:val="24"/>
        </w:rPr>
        <w:t xml:space="preserve">приспособление входных зон и различных помещений организации для обеспечения беспрепятственного доступа к социальным услугам инвалидов и маломобильных групп. Продублировать вывеску на входе шрифтом Брайля. Решить вопрос с восстановлением знака, с обозначением </w:t>
      </w:r>
      <w:r w:rsidRPr="00C87151">
        <w:rPr>
          <w:rFonts w:ascii="Times New Roman" w:hAnsi="Times New Roman"/>
          <w:sz w:val="24"/>
          <w:szCs w:val="24"/>
        </w:rPr>
        <w:t>выделяемы</w:t>
      </w:r>
      <w:r>
        <w:rPr>
          <w:rFonts w:ascii="Times New Roman" w:hAnsi="Times New Roman"/>
          <w:sz w:val="24"/>
          <w:szCs w:val="24"/>
        </w:rPr>
        <w:t>х</w:t>
      </w:r>
      <w:r w:rsidRPr="00C87151">
        <w:rPr>
          <w:rFonts w:ascii="Times New Roman" w:hAnsi="Times New Roman"/>
          <w:sz w:val="24"/>
          <w:szCs w:val="24"/>
        </w:rPr>
        <w:t xml:space="preserve"> мест для автотранспорта инвалидов, согласно действующим государственным стандартам и нормам.</w:t>
      </w:r>
    </w:p>
    <w:p w:rsidR="005C56BC" w:rsidRDefault="005C56BC" w:rsidP="00336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низких показателей удовлетворенности получателей услуг некоторыми условиями предоставления социальных услуг, рекомендуем провести детальный анализ по каждому показателю, рассмотреть возможность улучшения условий и проводить регулярно разъяснительную работа о действующих нормативах и правилах оказания услуг. </w:t>
      </w:r>
    </w:p>
    <w:p w:rsidR="005C56BC" w:rsidRPr="00A4030D" w:rsidRDefault="005C56BC" w:rsidP="00A40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пожеланий респондентов рассмотреть возможность выделения дополнительных помещений для занятий с получателями услуг, приобретения баяна. </w:t>
      </w:r>
    </w:p>
    <w:p w:rsidR="005C56BC" w:rsidRDefault="005C56BC" w:rsidP="00A4030D">
      <w:pPr>
        <w:tabs>
          <w:tab w:val="left" w:pos="3544"/>
          <w:tab w:val="right" w:pos="97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56BC" w:rsidRDefault="005C56BC" w:rsidP="00BA5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B1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5138B1">
        <w:rPr>
          <w:rFonts w:ascii="Times New Roman" w:hAnsi="Times New Roman"/>
          <w:sz w:val="24"/>
          <w:szCs w:val="24"/>
        </w:rPr>
        <w:t xml:space="preserve"> Общественного совета при министерстве социального развития и труда Астраханской области, участвующи</w:t>
      </w:r>
      <w:r>
        <w:rPr>
          <w:rFonts w:ascii="Times New Roman" w:hAnsi="Times New Roman"/>
          <w:sz w:val="24"/>
          <w:szCs w:val="24"/>
        </w:rPr>
        <w:t>е</w:t>
      </w:r>
      <w:r w:rsidRPr="005138B1">
        <w:rPr>
          <w:rFonts w:ascii="Times New Roman" w:hAnsi="Times New Roman"/>
          <w:sz w:val="24"/>
          <w:szCs w:val="24"/>
        </w:rPr>
        <w:t xml:space="preserve"> в выезде в организацию - Воробьева Р.А.</w:t>
      </w:r>
      <w:r>
        <w:rPr>
          <w:rFonts w:ascii="Times New Roman" w:hAnsi="Times New Roman"/>
          <w:sz w:val="24"/>
          <w:szCs w:val="24"/>
        </w:rPr>
        <w:t>, Романов А.Я.</w:t>
      </w:r>
    </w:p>
    <w:p w:rsidR="005C56BC" w:rsidRPr="00A4030D" w:rsidRDefault="005C56BC" w:rsidP="00BA5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  <w:r w:rsidRPr="00A4030D">
        <w:rPr>
          <w:rFonts w:ascii="Times New Roman" w:hAnsi="Times New Roman"/>
          <w:sz w:val="28"/>
          <w:szCs w:val="28"/>
        </w:rPr>
        <w:tab/>
      </w:r>
    </w:p>
    <w:p w:rsidR="005C56BC" w:rsidRPr="00A4030D" w:rsidRDefault="005C56BC" w:rsidP="00FF6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56BC" w:rsidRPr="00A4030D" w:rsidSect="000B2E3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3E3"/>
    <w:multiLevelType w:val="hybridMultilevel"/>
    <w:tmpl w:val="156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05263"/>
    <w:multiLevelType w:val="hybridMultilevel"/>
    <w:tmpl w:val="54D6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0A"/>
    <w:rsid w:val="00026A75"/>
    <w:rsid w:val="000376EA"/>
    <w:rsid w:val="000B2E3B"/>
    <w:rsid w:val="00106DA6"/>
    <w:rsid w:val="00161702"/>
    <w:rsid w:val="001E4049"/>
    <w:rsid w:val="001F78F7"/>
    <w:rsid w:val="00251AD7"/>
    <w:rsid w:val="00262951"/>
    <w:rsid w:val="0029576F"/>
    <w:rsid w:val="002B5B21"/>
    <w:rsid w:val="002F0FAA"/>
    <w:rsid w:val="00336254"/>
    <w:rsid w:val="0034154F"/>
    <w:rsid w:val="00343B59"/>
    <w:rsid w:val="0036004A"/>
    <w:rsid w:val="003B4FDB"/>
    <w:rsid w:val="003E262D"/>
    <w:rsid w:val="003E5302"/>
    <w:rsid w:val="00410D2D"/>
    <w:rsid w:val="004169ED"/>
    <w:rsid w:val="00436588"/>
    <w:rsid w:val="004636FD"/>
    <w:rsid w:val="004C467E"/>
    <w:rsid w:val="004C51C5"/>
    <w:rsid w:val="005138B1"/>
    <w:rsid w:val="00527B9B"/>
    <w:rsid w:val="00543ED4"/>
    <w:rsid w:val="00563C93"/>
    <w:rsid w:val="005C56BC"/>
    <w:rsid w:val="00603D7C"/>
    <w:rsid w:val="00614AA7"/>
    <w:rsid w:val="006C0335"/>
    <w:rsid w:val="007143C2"/>
    <w:rsid w:val="0074682F"/>
    <w:rsid w:val="0076306F"/>
    <w:rsid w:val="007749CD"/>
    <w:rsid w:val="008570A0"/>
    <w:rsid w:val="008A1FDC"/>
    <w:rsid w:val="0091276B"/>
    <w:rsid w:val="00926C8B"/>
    <w:rsid w:val="00952895"/>
    <w:rsid w:val="00974810"/>
    <w:rsid w:val="0097547D"/>
    <w:rsid w:val="009F4129"/>
    <w:rsid w:val="00A111AB"/>
    <w:rsid w:val="00A14A3C"/>
    <w:rsid w:val="00A4030D"/>
    <w:rsid w:val="00A52300"/>
    <w:rsid w:val="00B25C6A"/>
    <w:rsid w:val="00B64775"/>
    <w:rsid w:val="00B67094"/>
    <w:rsid w:val="00B759E6"/>
    <w:rsid w:val="00BA54C7"/>
    <w:rsid w:val="00BC030D"/>
    <w:rsid w:val="00BC7FD9"/>
    <w:rsid w:val="00BF4C71"/>
    <w:rsid w:val="00C6641C"/>
    <w:rsid w:val="00C87151"/>
    <w:rsid w:val="00D31B0A"/>
    <w:rsid w:val="00D57449"/>
    <w:rsid w:val="00DA1AD3"/>
    <w:rsid w:val="00DA4A41"/>
    <w:rsid w:val="00DD4EB5"/>
    <w:rsid w:val="00E65361"/>
    <w:rsid w:val="00E97383"/>
    <w:rsid w:val="00EA6A82"/>
    <w:rsid w:val="00EC076F"/>
    <w:rsid w:val="00ED7751"/>
    <w:rsid w:val="00F00FED"/>
    <w:rsid w:val="00F547AD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A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6A82"/>
    <w:pPr>
      <w:ind w:left="720"/>
      <w:contextualSpacing/>
    </w:pPr>
  </w:style>
  <w:style w:type="paragraph" w:customStyle="1" w:styleId="ConsPlusNormal">
    <w:name w:val="ConsPlusNormal"/>
    <w:uiPriority w:val="99"/>
    <w:rsid w:val="00EA6A8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03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410D2D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570A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.Nariman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octrud.astrobl.ru/podrazdeleniya/ktsson-narimanovskogo-rai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imanovkcs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imanovkcson.ru/index.php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2960</Words>
  <Characters>16877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социального обслуживания: государственное автономное учреждение социального обслуживания населения «Комплексный центр социального обслуживания населения, Наримановский район, Астраханская область»</dc:title>
  <dc:subject/>
  <dc:creator>Борисова Елена Владимировна</dc:creator>
  <cp:keywords/>
  <dc:description/>
  <cp:lastModifiedBy>user</cp:lastModifiedBy>
  <cp:revision>2</cp:revision>
  <dcterms:created xsi:type="dcterms:W3CDTF">2017-12-04T12:46:00Z</dcterms:created>
  <dcterms:modified xsi:type="dcterms:W3CDTF">2017-12-04T12:46:00Z</dcterms:modified>
</cp:coreProperties>
</file>